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84" w:right="-33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RESUMO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(T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ítulo do resumo: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Caixa alta, negrito, centralizado, Times New Roman,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Nome do Autor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Nome do Autor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..... (centralizado, Times New Roman, 11)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134" w:right="1134" w:firstLine="0"/>
        <w:jc w:val="center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Nome da Instituição, e-mail: e-mail do autor. (centralizado, Times New Roman,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1134" w:right="1134" w:firstLine="0"/>
        <w:jc w:val="center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Nome da Instituição, e-mail: e-mail do autor. (centralizado, Times New Roman,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exemplo do resumo apresenta um texto inspirado na mensagem do professor Landin sobre o histórico do Simpósio. Entre 1985 e 2000, foram realizados oito Simpósios sobre Quantificação em Geociências no campus da UNESP em Rio Claro. Esses eventos, com o objetivo principal de proporcionar a troca de experiências entre profissionais e estudantes sobre a aplicação de diversos modelos e técnicas quantitativas em Geociências, incluíram sessões de palestras, mesas-redondas, comunicações para apresentação e debate de trabalhos, demonstração de softwares e minicursos. Em 2022, um grupo entusiasmado de docentes e profissionais retomou a realização de um encontro sobre quantificação em Geociências, na cidade de Campinas-SP. A iniciativa foi bem recebida e, após mais de 20 anos, foi realizado no campus da UNICAMP o 9º Simpósio de Quantificação em Geociências. O evento teve caráter mais diversificado em suas aplicações, com metodologias atualizadas, ampliando o público alvo, passando a fazer parte do quadro de Simpósios Temáticos da Sociedade Brasileira de Geologia (SBG). A área das Geociências, que até pouco tempo era vista como baseada em interpretações puramente qualitativas dos fenômenos, tem passado por uma mudança notável nos últimos anos com ampla e acelerada utilização de métodos quantitativos. Na área aplicada, onde a interpretação geológica precisa ter um enfoque econômico além de ser fundamentada em conceitos científicos, observa-se uma marcante tendência quantitativa que possibilita avanços importantes, especialmente no uso de técnicas espaciais e espaço-temporais, além da avaliação de riscos e incertezas. Graças aos avanços tecnológicos nas últimas décadas, tanto em termos computacionais quanto em equipamentos de laboratório e de campo mais refinados, há grande disponibilidade de dados geológicos quantitativos. Entretanto, a análise desses dados ainda está aquém da enorme quantidade de informações coletadas. Muitos relatórios de pesquisa e bancos de dados contêm um grande número de matrizes de informações não trabalhadas. Recursos financeiros e tempo são gastos nessa coleta, que precisa ser devidamente manejada para a análise dos dados. É importante enfatizar que a utilização de métodos quantitativos, facilitada pela vasta disponibilidade de programas computacionais, não é suficiente se o estudo não for embasado em um sólido conhecimento geológico. Mais recentemente, o uso de ferramentas de inteligência artificial tem se mostrado como um grande aliado às Geociências. Entretanto, embora a inteligência artificial tenha tornado a análise de dados mais acessível, robusta e refinada, seu uso indiscriminado, fundamentado em princípios físicos ou conceituais equivocados, pode muitas vezes induzir a resultados espúrios ou interpretações enviesadas.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Palavras-chave: resumo, normas, exemplo.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Instruções: O resumo deve ter no máximo 3.500 caracteres (incluindo espaços). Texto Justificado, fonte Times New Roman, tamanho 11, espaçamento simples (1,0). O texto deve trazer até três palavras-chave, conforme exemplo acima. Também pode ser acompanhado, opcionalmente, por uma página adicional contendo figuras, gráficos e/ou tabelas, com suas legendas. O arquivo final deve ser enviado em formato .DOCX (Word).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9"/>
            <w:tblGridChange w:id="0">
              <w:tblGrid>
                <w:gridCol w:w="9639"/>
              </w:tblGrid>
            </w:tblGridChange>
          </w:tblGrid>
          <w:tr>
            <w:trPr>
              <w:cantSplit w:val="0"/>
              <w:trHeight w:val="5807.587890625001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color w:val="ff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ff0000"/>
                  </w:rPr>
                  <w:drawing>
                    <wp:inline distB="114300" distT="114300" distL="114300" distR="114300">
                      <wp:extent cx="4762500" cy="3470289"/>
                      <wp:effectExtent b="0" l="0" r="0" t="0"/>
                      <wp:docPr id="10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15921" l="0" r="0" t="1126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62500" cy="34702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Figura 1: Exemplo de legenda para figuras (Texto Justificado, fonte Times New Roman, tamanho 11, espaçamento simples (1,0).</w:t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9" w:w="11907" w:orient="portrait"/>
      <w:pgMar w:bottom="113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645150" cy="72263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45150" cy="722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Lucida Grande" w:cs="Lucida Grande" w:eastAsia="Calibri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Lucida Grande" w:cs="Lucida Grande" w:eastAsia="Calibri" w:hAnsi="Lucida Grande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ListaColorida-Ênfase1">
    <w:name w:val="Lista Colorida - Ênfase 1"/>
    <w:basedOn w:val="Normal"/>
    <w:next w:val="ListaColorida-Ênfase1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adeMédia3">
    <w:name w:val="Grade Média 3"/>
    <w:basedOn w:val="Tabelanormal"/>
    <w:next w:val="GradeMédia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GradeMédia3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tattJ8cPVT/UHqJKLqNexLiErw==">CgMxLjAaHwoBMBIaChgICVIUChJ0YWJsZS5vdndzb29rMWY2YmI4AHIhMXB1UTVYb3hyRE55ekhXaWRGN1JfUWhXWWNWU0ozOE9T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2024-12-02T19:18:00Z</dcterms:created>
  <dc:creator>Adilson Soares</dc:creator>
</cp:coreProperties>
</file>